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03" w:right="0" w:firstLine="0"/>
        <w:jc w:val="left"/>
        <w:rPr>
          <w:b/>
          <w:sz w:val="20"/>
        </w:rPr>
      </w:pPr>
      <w:r>
        <w:rPr/>
        <w:pict>
          <v:rect style="position:absolute;margin-left:34.348pt;margin-top:96.480003pt;width:526.582pt;height:.75pt;mso-position-horizontal-relative:page;mso-position-vertical-relative:page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3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5ª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25" w:right="542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27/03/2023 - 17:00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27/03/2023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2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25" w:right="826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line="441" w:lineRule="auto" w:before="5"/>
        <w:ind w:left="325" w:right="7584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  <w:r>
        <w:rPr>
          <w:b w:val="0"/>
          <w:spacing w:val="-61"/>
          <w:sz w:val="20"/>
        </w:rPr>
        <w:t> </w:t>
      </w:r>
      <w:r>
        <w:rPr>
          <w:b w:val="0"/>
          <w:w w:val="105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2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691096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2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25" w:right="8578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Juarez/PSD</w:t>
      </w:r>
    </w:p>
    <w:p>
      <w:pPr>
        <w:spacing w:after="0" w:line="441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920" w:right="920"/>
          <w:pgNumType w:start="1"/>
        </w:sectPr>
      </w:pPr>
    </w:p>
    <w:p>
      <w:pPr>
        <w:spacing w:before="79"/>
        <w:ind w:left="393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5ª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spacing w:line="441" w:lineRule="auto" w:before="98"/>
        <w:ind w:left="325" w:right="7584" w:firstLine="0"/>
        <w:jc w:val="left"/>
        <w:rPr>
          <w:b w:val="0"/>
          <w:sz w:val="20"/>
        </w:rPr>
      </w:pPr>
      <w:r>
        <w:rPr>
          <w:b w:val="0"/>
          <w:sz w:val="20"/>
        </w:rPr>
        <w:t>Paulinha/PSD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32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45" w:after="0"/>
        <w:ind w:left="41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1/2024</w:t>
      </w:r>
    </w:p>
    <w:p>
      <w:pPr>
        <w:pStyle w:val="BodyText"/>
        <w:spacing w:line="175" w:lineRule="exact"/>
        <w:ind w:left="41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1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44"/>
        <w:ind w:left="30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sobre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concessão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reajuste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salarial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servidores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públicos do Município de Santana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Seridó/RN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providencias;</w:t>
      </w:r>
    </w:p>
    <w:p>
      <w:pPr>
        <w:pStyle w:val="BodyText"/>
        <w:spacing w:before="45"/>
        <w:ind w:left="41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920" w:right="920"/>
          <w:cols w:num="3" w:equalWidth="0">
            <w:col w:w="3353" w:space="40"/>
            <w:col w:w="3014" w:space="207"/>
            <w:col w:w="3446"/>
          </w:cols>
        </w:sectPr>
      </w:pPr>
    </w:p>
    <w:p>
      <w:pPr>
        <w:spacing w:line="240" w:lineRule="auto" w:before="8" w:after="1"/>
        <w:rPr>
          <w:b/>
          <w:sz w:val="18"/>
        </w:rPr>
      </w:pPr>
    </w:p>
    <w:p>
      <w:pPr>
        <w:spacing w:line="20" w:lineRule="exact"/>
        <w:ind w:left="32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69" w:after="0"/>
        <w:ind w:left="41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3/2024</w:t>
      </w:r>
    </w:p>
    <w:p>
      <w:pPr>
        <w:pStyle w:val="BodyText"/>
        <w:spacing w:line="175" w:lineRule="exact"/>
        <w:ind w:left="41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1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67"/>
        <w:ind w:left="30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Regulamenta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repasse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Incentivo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Financeiro</w:t>
      </w:r>
      <w:r>
        <w:rPr>
          <w:b w:val="0"/>
          <w:spacing w:val="2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25"/>
          <w:w w:val="105"/>
        </w:rPr>
        <w:t> </w:t>
      </w:r>
      <w:r>
        <w:rPr>
          <w:b w:val="0"/>
          <w:w w:val="105"/>
        </w:rPr>
        <w:t>que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trata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 art. 9-D da 11.350, de 05 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outubro de 2006, para os Agentes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Comunitários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Saúde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(ACS)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Agentes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Combate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às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Endemias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(ACE).</w:t>
      </w:r>
    </w:p>
    <w:p>
      <w:pPr>
        <w:pStyle w:val="BodyText"/>
        <w:spacing w:before="69"/>
        <w:ind w:left="41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920" w:right="920"/>
          <w:cols w:num="3" w:equalWidth="0">
            <w:col w:w="3353" w:space="40"/>
            <w:col w:w="3014" w:space="207"/>
            <w:col w:w="3446"/>
          </w:cols>
        </w:sectPr>
      </w:pPr>
    </w:p>
    <w:p>
      <w:pPr>
        <w:spacing w:line="240" w:lineRule="auto" w:before="6" w:after="0"/>
        <w:rPr>
          <w:b/>
          <w:sz w:val="18"/>
        </w:rPr>
      </w:pPr>
    </w:p>
    <w:p>
      <w:pPr>
        <w:spacing w:line="20" w:lineRule="exact"/>
        <w:ind w:left="32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4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162" w:val="left" w:leader="none"/>
        </w:tabs>
        <w:spacing w:before="45"/>
        <w:ind w:left="41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3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2024</w:t>
        <w:tab/>
      </w:r>
      <w:r>
        <w:rPr>
          <w:b/>
          <w:w w:val="105"/>
        </w:rPr>
        <w:t>Bruno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162" w:right="370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16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8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162" w:val="left" w:leader="none"/>
        </w:tabs>
        <w:spacing w:before="45"/>
        <w:ind w:left="41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1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2024</w:t>
        <w:tab/>
      </w:r>
      <w:r>
        <w:rPr>
          <w:b/>
          <w:w w:val="105"/>
        </w:rPr>
        <w:t>Bruno</w:t>
      </w:r>
      <w:r>
        <w:rPr>
          <w:b/>
          <w:spacing w:val="2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162" w:right="370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16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16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302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370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32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32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32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680" w:bottom="1100" w:left="920" w:right="920"/>
        </w:sectPr>
      </w:pPr>
    </w:p>
    <w:p>
      <w:pPr>
        <w:spacing w:before="79"/>
        <w:ind w:left="393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5ª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tabs>
          <w:tab w:pos="2202" w:val="left" w:leader="none"/>
          <w:tab w:pos="3249" w:val="left" w:leader="none"/>
        </w:tabs>
        <w:spacing w:line="237" w:lineRule="auto" w:before="102"/>
        <w:ind w:left="325" w:right="611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  <w:tab/>
        <w:t>Video:</w:t>
        <w:tab/>
      </w:r>
      <w:hyperlink r:id="rId9">
        <w:r>
          <w:rPr>
            <w:b w:val="0"/>
            <w:spacing w:val="-2"/>
            <w:sz w:val="20"/>
          </w:rPr>
          <w:t>https://ww</w:t>
        </w:r>
      </w:hyperlink>
      <w:r>
        <w:rPr>
          <w:b w:val="0"/>
          <w:spacing w:val="-2"/>
          <w:sz w:val="20"/>
        </w:rPr>
        <w:t>w</w:t>
      </w:r>
      <w:hyperlink r:id="rId9">
        <w:r>
          <w:rPr>
            <w:b w:val="0"/>
            <w:spacing w:val="-2"/>
            <w:sz w:val="20"/>
          </w:rPr>
          <w:t>.facebook.com/camara.santanadoserido.5/videos/</w:t>
        </w:r>
      </w:hyperlink>
      <w:r>
        <w:rPr>
          <w:b w:val="0"/>
          <w:spacing w:val="-1"/>
          <w:sz w:val="20"/>
        </w:rPr>
        <w:t> </w:t>
      </w:r>
      <w:r>
        <w:rPr>
          <w:b w:val="0"/>
          <w:w w:val="105"/>
          <w:sz w:val="20"/>
        </w:rPr>
        <w:t>712676373928760/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3052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19/08/2025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19/08/2025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2745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19/08/2025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19/08/2025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15" w:hanging="212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3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0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9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93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86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79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72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66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2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1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facebook.com/camara.santanadoserido.5/videos/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2025-08-19T19:44:41Z</dcterms:created>
  <dcterms:modified xsi:type="dcterms:W3CDTF">2025-08-19T19:44:41Z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</Properties>
</file>